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6A3E" w:rsidRPr="00616A3E" w:rsidRDefault="00616A3E">
      <w:pPr>
        <w:rPr>
          <w:rFonts w:ascii="Arial" w:hAnsi="Arial" w:cs="Arial"/>
          <w:b/>
          <w:sz w:val="18"/>
          <w:szCs w:val="18"/>
        </w:rPr>
      </w:pPr>
      <w:r w:rsidRPr="00616A3E">
        <w:rPr>
          <w:rFonts w:ascii="Arial" w:hAnsi="Arial" w:cs="Arial"/>
          <w:b/>
          <w:sz w:val="18"/>
          <w:szCs w:val="18"/>
        </w:rPr>
        <w:t>Aparat do elektrokoagulacji – 2 sztuki</w:t>
      </w:r>
    </w:p>
    <w:p w:rsidR="00616A3E" w:rsidRPr="00616A3E" w:rsidRDefault="00616A3E">
      <w:pPr>
        <w:rPr>
          <w:rFonts w:ascii="Arial" w:hAnsi="Arial" w:cs="Arial"/>
          <w:sz w:val="18"/>
          <w:szCs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3"/>
        <w:gridCol w:w="5004"/>
        <w:gridCol w:w="1912"/>
        <w:gridCol w:w="1783"/>
      </w:tblGrid>
      <w:tr w:rsidR="00616A3E" w:rsidRPr="00616A3E" w:rsidTr="00290084">
        <w:trPr>
          <w:trHeight w:val="708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proofErr w:type="spellStart"/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761" w:type="pct"/>
            <w:vAlign w:val="center"/>
          </w:tcPr>
          <w:p w:rsidR="00616A3E" w:rsidRPr="00290084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084">
              <w:rPr>
                <w:rFonts w:ascii="Arial" w:hAnsi="Arial" w:cs="Arial"/>
                <w:b/>
                <w:sz w:val="18"/>
                <w:szCs w:val="18"/>
              </w:rPr>
              <w:t>PARAMETRY / WARUNEK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3E" w:rsidRPr="00290084" w:rsidRDefault="00616A3E" w:rsidP="00616A3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16A3E" w:rsidRPr="00290084" w:rsidRDefault="00616A3E" w:rsidP="00616A3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0084">
              <w:rPr>
                <w:rFonts w:ascii="Arial" w:eastAsia="Calibri" w:hAnsi="Arial" w:cs="Arial"/>
                <w:b/>
                <w:sz w:val="18"/>
                <w:szCs w:val="18"/>
              </w:rPr>
              <w:t>Warunek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084" w:rsidRDefault="00290084" w:rsidP="00616A3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16A3E" w:rsidRPr="00290084" w:rsidRDefault="00616A3E" w:rsidP="00616A3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290084">
              <w:rPr>
                <w:rFonts w:ascii="Arial" w:eastAsia="Calibri" w:hAnsi="Arial" w:cs="Arial"/>
                <w:b/>
                <w:sz w:val="18"/>
                <w:szCs w:val="18"/>
              </w:rPr>
              <w:t>Potwierdzenie</w:t>
            </w:r>
            <w:proofErr w:type="spellEnd"/>
            <w:r w:rsidRPr="00290084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</w:p>
          <w:p w:rsidR="00616A3E" w:rsidRPr="00290084" w:rsidRDefault="00616A3E" w:rsidP="00616A3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0084">
              <w:rPr>
                <w:rFonts w:ascii="Arial" w:eastAsia="Calibri" w:hAnsi="Arial" w:cs="Arial"/>
                <w:b/>
                <w:sz w:val="18"/>
                <w:szCs w:val="18"/>
              </w:rPr>
              <w:t>Opis Wykonawcy</w:t>
            </w:r>
          </w:p>
        </w:tc>
      </w:tr>
      <w:tr w:rsidR="00616A3E" w:rsidRPr="00616A3E" w:rsidTr="00290084">
        <w:trPr>
          <w:trHeight w:val="422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A3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61" w:type="pct"/>
            <w:vAlign w:val="center"/>
          </w:tcPr>
          <w:p w:rsidR="00616A3E" w:rsidRPr="00616A3E" w:rsidRDefault="00616A3E" w:rsidP="00616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A3E">
              <w:rPr>
                <w:rFonts w:ascii="Arial" w:hAnsi="Arial" w:cs="Arial"/>
                <w:b/>
                <w:bCs/>
                <w:sz w:val="18"/>
                <w:szCs w:val="18"/>
              </w:rPr>
              <w:t>Wymagania Ogólne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616A3E" w:rsidRDefault="00616A3E" w:rsidP="00616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A3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rPr>
                <w:rFonts w:ascii="Arial" w:hAnsi="Arial" w:cs="Arial"/>
                <w:sz w:val="18"/>
                <w:szCs w:val="18"/>
              </w:rPr>
            </w:pPr>
            <w:r w:rsidRPr="00616A3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16A3E" w:rsidRPr="00616A3E" w:rsidTr="00290084">
        <w:trPr>
          <w:trHeight w:val="299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1" w:type="pct"/>
          </w:tcPr>
          <w:p w:rsidR="00616A3E" w:rsidRPr="00616A3E" w:rsidRDefault="00616A3E" w:rsidP="00616A3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16A3E">
              <w:rPr>
                <w:rFonts w:ascii="Arial" w:eastAsia="Calibri" w:hAnsi="Arial" w:cs="Arial"/>
                <w:sz w:val="18"/>
                <w:szCs w:val="18"/>
              </w:rPr>
              <w:t>Typ/Model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A3E">
              <w:rPr>
                <w:rFonts w:ascii="Arial" w:eastAsia="Calibri" w:hAnsi="Arial" w:cs="Arial"/>
                <w:sz w:val="18"/>
                <w:szCs w:val="18"/>
              </w:rPr>
              <w:t>Tak/Podać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rPr>
                <w:rFonts w:ascii="Arial" w:hAnsi="Arial" w:cs="Arial"/>
                <w:sz w:val="18"/>
                <w:szCs w:val="18"/>
              </w:rPr>
            </w:pPr>
            <w:r w:rsidRPr="00616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6A3E" w:rsidRPr="00616A3E" w:rsidTr="00290084">
        <w:trPr>
          <w:trHeight w:val="335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61" w:type="pct"/>
          </w:tcPr>
          <w:p w:rsidR="00616A3E" w:rsidRPr="005A644A" w:rsidRDefault="00616A3E" w:rsidP="00616A3E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Producent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Tak/Podać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rPr>
                <w:rFonts w:ascii="Arial" w:hAnsi="Arial" w:cs="Arial"/>
                <w:sz w:val="18"/>
                <w:szCs w:val="18"/>
              </w:rPr>
            </w:pPr>
            <w:r w:rsidRPr="00616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6A3E" w:rsidRPr="00616A3E" w:rsidTr="00290084">
        <w:trPr>
          <w:trHeight w:val="322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A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61" w:type="pct"/>
          </w:tcPr>
          <w:p w:rsidR="00616A3E" w:rsidRPr="005A644A" w:rsidRDefault="00616A3E" w:rsidP="00616A3E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Rok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produkcji</w:t>
            </w:r>
            <w:proofErr w:type="spellEnd"/>
            <w:r w:rsidR="00F2217A"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minimum 2022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Tak/Podać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rPr>
                <w:rFonts w:ascii="Arial" w:hAnsi="Arial" w:cs="Arial"/>
                <w:sz w:val="18"/>
                <w:szCs w:val="18"/>
              </w:rPr>
            </w:pPr>
            <w:r w:rsidRPr="00616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2217A" w:rsidRPr="00616A3E" w:rsidTr="00290084">
        <w:trPr>
          <w:trHeight w:val="322"/>
        </w:trPr>
        <w:tc>
          <w:tcPr>
            <w:tcW w:w="200" w:type="pct"/>
            <w:vAlign w:val="center"/>
          </w:tcPr>
          <w:p w:rsidR="00F2217A" w:rsidRPr="00616A3E" w:rsidRDefault="00F2217A" w:rsidP="00616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61" w:type="pct"/>
          </w:tcPr>
          <w:p w:rsidR="00F2217A" w:rsidRPr="005A644A" w:rsidRDefault="00F2217A" w:rsidP="00616A3E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Urządzenie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nowe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nieużywane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niepowystawowe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kompletne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A" w:rsidRPr="005A644A" w:rsidRDefault="009147A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A" w:rsidRPr="00616A3E" w:rsidRDefault="00F2217A" w:rsidP="00616A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530"/>
        </w:trPr>
        <w:tc>
          <w:tcPr>
            <w:tcW w:w="200" w:type="pct"/>
            <w:vAlign w:val="center"/>
          </w:tcPr>
          <w:p w:rsidR="00616A3E" w:rsidRPr="00616A3E" w:rsidRDefault="00F2217A" w:rsidP="00616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61" w:type="pct"/>
          </w:tcPr>
          <w:p w:rsidR="00616A3E" w:rsidRPr="005A644A" w:rsidRDefault="00616A3E" w:rsidP="00616A3E">
            <w:pPr>
              <w:pStyle w:val="Domyni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hAnsi="Arial" w:cs="Arial"/>
                <w:color w:val="000000" w:themeColor="text1"/>
                <w:sz w:val="18"/>
                <w:szCs w:val="18"/>
              </w:rPr>
              <w:t>Zaoferowany przedmiot zamówienia musi posiadać dopuszczenie do obrotu i do używania zgodnie z ustawą dnia 20 maja 2010 r. o wyrobach  medycznych (Dz. U. z 2019 r. poz. 175) w szczególności:</w:t>
            </w:r>
          </w:p>
          <w:p w:rsidR="00616A3E" w:rsidRPr="005A644A" w:rsidRDefault="00616A3E" w:rsidP="00616A3E">
            <w:pPr>
              <w:pStyle w:val="Domynie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spełniać tzw. Wymagania zasadnicze, określone w rozporządzeniach Ministra Zdrowia uwzględniającym wymagania prawa wspólnotowego w szczególności w zakresie wytwarzania, opakowania </w:t>
            </w:r>
            <w:r w:rsidRPr="005A644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oznakowania tych wyrobów;</w:t>
            </w:r>
          </w:p>
          <w:p w:rsidR="00616A3E" w:rsidRPr="005A644A" w:rsidRDefault="00616A3E" w:rsidP="00616A3E">
            <w:pPr>
              <w:pStyle w:val="Domynie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posiadać deklarację zgodności dla oferowanego przedmiotu zamówienia;</w:t>
            </w:r>
          </w:p>
          <w:p w:rsidR="00616A3E" w:rsidRPr="005A644A" w:rsidRDefault="00616A3E" w:rsidP="00616A3E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      c )    oznakowano je znakiem zgodności CE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Tak/Podać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rPr>
                <w:rFonts w:ascii="Arial" w:hAnsi="Arial" w:cs="Arial"/>
                <w:sz w:val="18"/>
                <w:szCs w:val="18"/>
              </w:rPr>
            </w:pPr>
            <w:r w:rsidRPr="00616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6A3E" w:rsidRPr="00616A3E" w:rsidTr="00290084">
        <w:trPr>
          <w:trHeight w:val="530"/>
        </w:trPr>
        <w:tc>
          <w:tcPr>
            <w:tcW w:w="200" w:type="pct"/>
            <w:vAlign w:val="center"/>
          </w:tcPr>
          <w:p w:rsidR="00616A3E" w:rsidRPr="00616A3E" w:rsidRDefault="00F2217A" w:rsidP="00616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61" w:type="pct"/>
          </w:tcPr>
          <w:p w:rsidR="00616A3E" w:rsidRPr="005A644A" w:rsidRDefault="00616A3E" w:rsidP="00616A3E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Wykaz dostawców części i materiałów – zgodnie </w:t>
            </w: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  <w:t xml:space="preserve">z art. 90 ust. 3 Ustawy o wyrobach medycznych </w:t>
            </w: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  <w:t>z dnia 20 maja 2010r. (Dz. U. z 2019 r. poz. 175)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Tak/Podać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rPr>
                <w:rFonts w:ascii="Arial" w:hAnsi="Arial" w:cs="Arial"/>
                <w:sz w:val="18"/>
                <w:szCs w:val="18"/>
              </w:rPr>
            </w:pPr>
            <w:r w:rsidRPr="00616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6A3E" w:rsidRPr="00616A3E" w:rsidTr="00290084">
        <w:trPr>
          <w:trHeight w:val="530"/>
        </w:trPr>
        <w:tc>
          <w:tcPr>
            <w:tcW w:w="200" w:type="pct"/>
            <w:vAlign w:val="center"/>
          </w:tcPr>
          <w:p w:rsidR="00616A3E" w:rsidRPr="00616A3E" w:rsidRDefault="00F2217A" w:rsidP="00616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61" w:type="pct"/>
          </w:tcPr>
          <w:p w:rsidR="00616A3E" w:rsidRPr="005A644A" w:rsidRDefault="00616A3E" w:rsidP="00616A3E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Wykaz podmiotów upoważnionych przez wytwórcę lub autoryzowanego przedstawiciela do wykonywania czynności – zgodnie z art. 90 ust. 4 ustawy o wyrobach medycznych z dnia 20 maja 2010 r. (Dz. U. z 2019r. poz. 175)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Tak/Podać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rPr>
                <w:rFonts w:ascii="Arial" w:hAnsi="Arial" w:cs="Arial"/>
                <w:sz w:val="18"/>
                <w:szCs w:val="18"/>
              </w:rPr>
            </w:pPr>
            <w:r w:rsidRPr="00616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6A3E" w:rsidRPr="00616A3E" w:rsidTr="00290084">
        <w:trPr>
          <w:trHeight w:val="336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1" w:type="pct"/>
          </w:tcPr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Parametry</w:t>
            </w:r>
            <w:proofErr w:type="spellEnd"/>
            <w:r w:rsidRPr="005A64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64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techniczne</w:t>
            </w:r>
            <w:proofErr w:type="spellEnd"/>
            <w:r w:rsidRPr="005A64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64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urządzenia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427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2761" w:type="pct"/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Aparat do elektrokoagulacji z funkcją głębokiego zamykania naczyń.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widowControl/>
              <w:autoSpaceDE/>
              <w:autoSpaceDN/>
              <w:spacing w:after="2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760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2761" w:type="pct"/>
            <w:tcBorders>
              <w:bottom w:val="single" w:sz="4" w:space="0" w:color="auto"/>
            </w:tcBorders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Jednostka sterująca z wielokolorowym wyświetlaczem TFT obrazującym parametry urządzenia służącym do komunikacji użytkownik – aparat.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widowControl/>
              <w:autoSpaceDE/>
              <w:autoSpaceDN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504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2761" w:type="pct"/>
            <w:tcBorders>
              <w:top w:val="single" w:sz="4" w:space="0" w:color="auto"/>
            </w:tcBorders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Monitor mocy z możliwością wizualizacji cyfrowej na wyświetlaczu i wizualizacji innej np. w postaci linijki.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320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A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61" w:type="pct"/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Oprogramowanie w języku polskim.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597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2761" w:type="pct"/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Możliwość zapamiętania min. 90 programów przez jednostkę sterująca i zapisania ich pod wieloznakowa nazwa procedury lub nazwiskiem lekarza w języku polskim.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454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2761" w:type="pct"/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Sygnalizacja dźwiękowa i wizualna awarii z wyświetleniem kodu błędu i opisem w języku polskim.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1127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2761" w:type="pct"/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Ilość gniazd przyłączeniowych:</w:t>
            </w:r>
          </w:p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Monopolarne – min. 1</w:t>
            </w:r>
          </w:p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bipolarne – min. 1</w:t>
            </w:r>
          </w:p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zamykania naczyń – 1</w:t>
            </w:r>
          </w:p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elektrody neutralnej - 1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973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2761" w:type="pct"/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Gniazdo monopolarne umożliwiające bezpośrednie podłączenie narzędzi w 3 różnych systemach (wtyczka 3 bolcowa, 1-bolcowa o średnicy 4 [mm], 1- bolcowa o średnicy 5 [mm] ) bez użycia dodatkowych adapterów.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930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9</w:t>
            </w:r>
          </w:p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2761" w:type="pct"/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Gniazda bipolarne umożliwiające bezpośrednie podłączenie narzędzi w 3 różnych systemach (wtyczka standard, wtyczka 28 [mm], wtyczka 22 [mm] ) bez użycia dodatkowych adapterów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676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10</w:t>
            </w:r>
          </w:p>
        </w:tc>
        <w:tc>
          <w:tcPr>
            <w:tcW w:w="2761" w:type="pct"/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Możliwość podłączenia do urządzenia dwóch wyłączników nożnych do aktywacji cięcia i koagulacji mono i bipolarnych.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264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11</w:t>
            </w:r>
          </w:p>
        </w:tc>
        <w:tc>
          <w:tcPr>
            <w:tcW w:w="2761" w:type="pct"/>
            <w:tcBorders>
              <w:bottom w:val="single" w:sz="4" w:space="0" w:color="auto"/>
            </w:tcBorders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Regulacja intensywnością ciecia i koagulacji oraz możliwość zmiany trybów pracy przy pomocy wyłącznika nożnego i uchwytu do koagulacji i ciecia.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686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2761" w:type="pct"/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Aparat posiadający funkcję redukowania wyświetlanych informacji o najistotniejsze pokazujące wyłącznie parametry pracy aktualnie wykorzystywanego instrumentu.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529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2761" w:type="pct"/>
            <w:tcBorders>
              <w:bottom w:val="single" w:sz="4" w:space="0" w:color="auto"/>
            </w:tcBorders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Moc znamionowa cięcia monopolarnego min. 300 [W] regulowana z dokładnością 1 [W] w całym zakresie mocy.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1118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2761" w:type="pct"/>
            <w:tcBorders>
              <w:bottom w:val="single" w:sz="4" w:space="0" w:color="auto"/>
            </w:tcBorders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Minimum 4 tryby – rodzaje ciecia monopolarnego:</w:t>
            </w:r>
          </w:p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mikrochirurgiczny,</w:t>
            </w:r>
          </w:p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delikatny,</w:t>
            </w:r>
          </w:p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wysokowydajny,</w:t>
            </w:r>
          </w:p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hemostatyczny 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606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15</w:t>
            </w:r>
          </w:p>
        </w:tc>
        <w:tc>
          <w:tcPr>
            <w:tcW w:w="2761" w:type="pct"/>
            <w:tcBorders>
              <w:bottom w:val="single" w:sz="4" w:space="0" w:color="auto"/>
            </w:tcBorders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Moc znamionowa koagulacji monopolarnej min. 200  [W] regulowana z dokładnością 1 [W] w całym zakresie mocy.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878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16</w:t>
            </w:r>
          </w:p>
        </w:tc>
        <w:tc>
          <w:tcPr>
            <w:tcW w:w="2761" w:type="pct"/>
            <w:tcBorders>
              <w:bottom w:val="single" w:sz="4" w:space="0" w:color="auto"/>
            </w:tcBorders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Minimum 4 rodzaje/tryby koagulacji monopolarnej:</w:t>
            </w:r>
          </w:p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delikatna,</w:t>
            </w:r>
          </w:p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mikrochirurgiczna,</w:t>
            </w:r>
          </w:p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intensywna,</w:t>
            </w:r>
          </w:p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preparująca.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696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17</w:t>
            </w:r>
          </w:p>
        </w:tc>
        <w:tc>
          <w:tcPr>
            <w:tcW w:w="2761" w:type="pct"/>
            <w:tcBorders>
              <w:bottom w:val="single" w:sz="4" w:space="0" w:color="auto"/>
            </w:tcBorders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Moc koagulacji monopolarnej typu natryskowego regulowana do min. 120 [W]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548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18</w:t>
            </w:r>
          </w:p>
        </w:tc>
        <w:tc>
          <w:tcPr>
            <w:tcW w:w="2761" w:type="pct"/>
            <w:tcBorders>
              <w:bottom w:val="single" w:sz="4" w:space="0" w:color="auto"/>
            </w:tcBorders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Maksymalna moc wyjściowa koagulacji bipolarnej 120 [W] +/-10 [W]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620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19</w:t>
            </w:r>
          </w:p>
        </w:tc>
        <w:tc>
          <w:tcPr>
            <w:tcW w:w="2761" w:type="pct"/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Ilość rodzajów koagulacji bipolarnej do dyspozycji min. 3 (mikrochirurgiczna, delikatna, intensywna).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376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20</w:t>
            </w:r>
          </w:p>
        </w:tc>
        <w:tc>
          <w:tcPr>
            <w:tcW w:w="2761" w:type="pct"/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Aktywacja funkcji bipolarnej: pedał i/lub funkcja auto-start.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264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21</w:t>
            </w:r>
          </w:p>
        </w:tc>
        <w:tc>
          <w:tcPr>
            <w:tcW w:w="2761" w:type="pct"/>
            <w:tcBorders>
              <w:bottom w:val="single" w:sz="4" w:space="0" w:color="auto"/>
            </w:tcBorders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Możliwość samodzielnej regulacji przez personel medyczny czasu opóźnienia funkcji auto-start z dokładnością do co najmniej 0,1 sek.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531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22</w:t>
            </w:r>
          </w:p>
        </w:tc>
        <w:tc>
          <w:tcPr>
            <w:tcW w:w="2761" w:type="pct"/>
            <w:tcBorders>
              <w:top w:val="single" w:sz="4" w:space="0" w:color="auto"/>
              <w:bottom w:val="single" w:sz="4" w:space="0" w:color="auto"/>
            </w:tcBorders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Funkcja auto-stop dla koagulacji bipolarnej.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486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23</w:t>
            </w:r>
          </w:p>
        </w:tc>
        <w:tc>
          <w:tcPr>
            <w:tcW w:w="2761" w:type="pct"/>
            <w:tcBorders>
              <w:top w:val="single" w:sz="4" w:space="0" w:color="auto"/>
              <w:bottom w:val="single" w:sz="4" w:space="0" w:color="auto"/>
            </w:tcBorders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Tryb zamykania naczyń krwionośnych o średnicy do 7 [mm]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519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24</w:t>
            </w:r>
          </w:p>
        </w:tc>
        <w:tc>
          <w:tcPr>
            <w:tcW w:w="2761" w:type="pct"/>
            <w:tcBorders>
              <w:top w:val="single" w:sz="4" w:space="0" w:color="auto"/>
              <w:bottom w:val="single" w:sz="4" w:space="0" w:color="auto"/>
            </w:tcBorders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Moc znamionowa trybu głębokiego zamykania naczyń 300 [W] +/-10 [W]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406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25</w:t>
            </w:r>
          </w:p>
        </w:tc>
        <w:tc>
          <w:tcPr>
            <w:tcW w:w="2761" w:type="pct"/>
            <w:tcBorders>
              <w:top w:val="single" w:sz="4" w:space="0" w:color="auto"/>
              <w:bottom w:val="single" w:sz="4" w:space="0" w:color="auto"/>
            </w:tcBorders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Regulacja intensywności działania w 4- stopniowej skali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689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26</w:t>
            </w:r>
          </w:p>
        </w:tc>
        <w:tc>
          <w:tcPr>
            <w:tcW w:w="2761" w:type="pct"/>
            <w:tcBorders>
              <w:top w:val="single" w:sz="4" w:space="0" w:color="auto"/>
            </w:tcBorders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Automatyczne kończenie procesu zamykania naczyń potwierdzone sygnałem dźwiękowym.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598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27</w:t>
            </w:r>
          </w:p>
        </w:tc>
        <w:tc>
          <w:tcPr>
            <w:tcW w:w="2761" w:type="pct"/>
            <w:tcBorders>
              <w:bottom w:val="single" w:sz="4" w:space="0" w:color="auto"/>
            </w:tcBorders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Rozpoznawanie podłączonych instrumentów i automatyczne</w:t>
            </w:r>
          </w:p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dobieranie optymalnych parametrów pracy.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706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28</w:t>
            </w:r>
          </w:p>
        </w:tc>
        <w:tc>
          <w:tcPr>
            <w:tcW w:w="2761" w:type="pct"/>
            <w:tcBorders>
              <w:top w:val="single" w:sz="4" w:space="0" w:color="auto"/>
              <w:bottom w:val="single" w:sz="4" w:space="0" w:color="auto"/>
            </w:tcBorders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Funkcja bezpiecznego cięcia bipolarnego i koagulacji </w:t>
            </w:r>
          </w:p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bipolarnej w soli fizjologicznej (elektroresekcja bipolarna) </w:t>
            </w:r>
          </w:p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automatycznie dobierana moc cięcia min. 370 [W].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878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29</w:t>
            </w:r>
          </w:p>
        </w:tc>
        <w:tc>
          <w:tcPr>
            <w:tcW w:w="2761" w:type="pct"/>
            <w:tcBorders>
              <w:top w:val="single" w:sz="4" w:space="0" w:color="auto"/>
            </w:tcBorders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System bezpieczeństwa elektrody neutralnej monitorujący:</w:t>
            </w:r>
          </w:p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jakość przylegania elektrody neutralnej (pomiar symetrii),</w:t>
            </w:r>
          </w:p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kontakt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między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elektroda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neutralna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skórą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pacjenta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pomiar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rezystancji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),</w:t>
            </w:r>
            <w:r w:rsidR="00290084"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gęstość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prądu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poniżej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elektrody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neutralnej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662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30</w:t>
            </w:r>
          </w:p>
        </w:tc>
        <w:tc>
          <w:tcPr>
            <w:tcW w:w="2761" w:type="pct"/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Informacja o jakości przylegania elektrody neutralnej w postaci cyfrowej i graficznej.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702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31</w:t>
            </w:r>
          </w:p>
        </w:tc>
        <w:tc>
          <w:tcPr>
            <w:tcW w:w="2761" w:type="pct"/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Możliwość rozbudowy modułu podstawowego o tryb pracy koagulacji bliźniaczej.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899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32</w:t>
            </w:r>
          </w:p>
        </w:tc>
        <w:tc>
          <w:tcPr>
            <w:tcW w:w="2761" w:type="pct"/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Możliwość rozbudowy systemu o dodatkowe moduły sterowane z modułu głównego:</w:t>
            </w:r>
          </w:p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przystawkę argonową</w:t>
            </w:r>
          </w:p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odsysacz dymu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878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33</w:t>
            </w:r>
          </w:p>
        </w:tc>
        <w:tc>
          <w:tcPr>
            <w:tcW w:w="2761" w:type="pct"/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Wyposażenie:</w:t>
            </w:r>
          </w:p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wyłącznik nożny podwójny z przyciskiem do zmiany programu – 1 szt.</w:t>
            </w:r>
          </w:p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wyłącznik nożny pojedynczy – 1 szt.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264"/>
        </w:trPr>
        <w:tc>
          <w:tcPr>
            <w:tcW w:w="200" w:type="pct"/>
            <w:vAlign w:val="center"/>
          </w:tcPr>
          <w:p w:rsidR="00616A3E" w:rsidRPr="00616A3E" w:rsidRDefault="00616A3E" w:rsidP="00616A3E">
            <w:pPr>
              <w:pStyle w:val="TableParagraph"/>
              <w:spacing w:before="120" w:after="12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616A3E">
              <w:rPr>
                <w:rFonts w:ascii="Arial" w:hAnsi="Arial" w:cs="Arial"/>
                <w:w w:val="99"/>
                <w:sz w:val="18"/>
                <w:szCs w:val="18"/>
              </w:rPr>
              <w:t>34</w:t>
            </w:r>
          </w:p>
        </w:tc>
        <w:tc>
          <w:tcPr>
            <w:tcW w:w="2761" w:type="pct"/>
          </w:tcPr>
          <w:p w:rsidR="00616A3E" w:rsidRPr="005A644A" w:rsidRDefault="00616A3E" w:rsidP="0029008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Wózek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90084"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pod </w:t>
            </w:r>
            <w:proofErr w:type="spellStart"/>
            <w:r w:rsidR="00290084"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aparat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3E" w:rsidRPr="005A644A" w:rsidRDefault="00D06876" w:rsidP="00616A3E">
            <w:pPr>
              <w:widowControl/>
              <w:autoSpaceDE/>
              <w:autoSpaceDN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</w:t>
            </w:r>
            <w:proofErr w:type="spellEnd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Podać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widowControl/>
              <w:autoSpaceDE/>
              <w:autoSpaceDN/>
              <w:spacing w:after="20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616A3E" w:rsidRPr="00616A3E" w:rsidTr="00290084">
        <w:trPr>
          <w:trHeight w:val="328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616A3E" w:rsidRPr="005A644A" w:rsidRDefault="00616A3E" w:rsidP="00616A3E">
            <w:pPr>
              <w:widowControl/>
              <w:autoSpaceDE/>
              <w:autoSpaceDN/>
              <w:spacing w:after="2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A644A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Warunki</w:t>
            </w:r>
            <w:proofErr w:type="spellEnd"/>
            <w:r w:rsidRPr="005A644A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644A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serwisu</w:t>
            </w:r>
            <w:proofErr w:type="spellEnd"/>
          </w:p>
        </w:tc>
      </w:tr>
      <w:tr w:rsidR="00616A3E" w:rsidRPr="00616A3E" w:rsidTr="00290084">
        <w:trPr>
          <w:trHeight w:val="264"/>
        </w:trPr>
        <w:tc>
          <w:tcPr>
            <w:tcW w:w="200" w:type="pct"/>
          </w:tcPr>
          <w:p w:rsidR="00616A3E" w:rsidRPr="00616A3E" w:rsidRDefault="00616A3E" w:rsidP="00616A3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A3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761" w:type="pct"/>
          </w:tcPr>
          <w:p w:rsidR="00616A3E" w:rsidRPr="005A644A" w:rsidRDefault="00616A3E" w:rsidP="00616A3E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Okres gwarancji minimum 36 miesięcy 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Tak, Podać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snapToGrid w:val="0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bidi="hi-IN"/>
              </w:rPr>
            </w:pPr>
          </w:p>
        </w:tc>
      </w:tr>
      <w:tr w:rsidR="00616A3E" w:rsidRPr="00616A3E" w:rsidTr="00290084">
        <w:trPr>
          <w:trHeight w:val="264"/>
        </w:trPr>
        <w:tc>
          <w:tcPr>
            <w:tcW w:w="200" w:type="pct"/>
          </w:tcPr>
          <w:p w:rsidR="00616A3E" w:rsidRPr="00616A3E" w:rsidRDefault="00616A3E" w:rsidP="00616A3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A3E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761" w:type="pct"/>
          </w:tcPr>
          <w:p w:rsidR="00616A3E" w:rsidRPr="005A644A" w:rsidRDefault="00616A3E" w:rsidP="00616A3E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616A3E" w:rsidRPr="005A644A" w:rsidRDefault="00616A3E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16A3E" w:rsidRPr="005A644A" w:rsidRDefault="00616A3E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Tak, Podać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snapToGrid w:val="0"/>
              <w:rPr>
                <w:rFonts w:ascii="Arial" w:eastAsia="SimSun" w:hAnsi="Arial" w:cs="Arial"/>
                <w:bCs/>
                <w:kern w:val="2"/>
                <w:sz w:val="18"/>
                <w:szCs w:val="18"/>
                <w:lang w:bidi="hi-IN"/>
              </w:rPr>
            </w:pPr>
          </w:p>
        </w:tc>
      </w:tr>
      <w:tr w:rsidR="00616A3E" w:rsidRPr="00616A3E" w:rsidTr="00290084">
        <w:trPr>
          <w:trHeight w:val="264"/>
        </w:trPr>
        <w:tc>
          <w:tcPr>
            <w:tcW w:w="200" w:type="pct"/>
          </w:tcPr>
          <w:p w:rsidR="00616A3E" w:rsidRPr="00616A3E" w:rsidRDefault="00616A3E" w:rsidP="00616A3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A3E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761" w:type="pct"/>
          </w:tcPr>
          <w:p w:rsidR="00616A3E" w:rsidRPr="005A644A" w:rsidRDefault="00616A3E" w:rsidP="00616A3E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616A3E" w:rsidRPr="005A644A" w:rsidRDefault="00616A3E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Tak, Podać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snapToGrid w:val="0"/>
              <w:rPr>
                <w:rFonts w:ascii="Arial" w:eastAsia="SimSun" w:hAnsi="Arial" w:cs="Arial"/>
                <w:bCs/>
                <w:kern w:val="2"/>
                <w:sz w:val="18"/>
                <w:szCs w:val="18"/>
                <w:lang w:bidi="hi-IN"/>
              </w:rPr>
            </w:pPr>
          </w:p>
        </w:tc>
      </w:tr>
      <w:tr w:rsidR="00616A3E" w:rsidRPr="00616A3E" w:rsidTr="00290084">
        <w:trPr>
          <w:trHeight w:val="264"/>
        </w:trPr>
        <w:tc>
          <w:tcPr>
            <w:tcW w:w="200" w:type="pct"/>
          </w:tcPr>
          <w:p w:rsidR="00616A3E" w:rsidRPr="00616A3E" w:rsidRDefault="00616A3E" w:rsidP="00616A3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A3E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761" w:type="pct"/>
          </w:tcPr>
          <w:p w:rsidR="00616A3E" w:rsidRPr="005A644A" w:rsidRDefault="00616A3E" w:rsidP="00616A3E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Tak, Podać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rPr>
                <w:rFonts w:ascii="Arial" w:hAnsi="Arial" w:cs="Arial"/>
                <w:sz w:val="18"/>
                <w:szCs w:val="18"/>
              </w:rPr>
            </w:pPr>
            <w:r w:rsidRPr="00616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6A3E" w:rsidRPr="00616A3E" w:rsidTr="00290084">
        <w:trPr>
          <w:trHeight w:val="264"/>
        </w:trPr>
        <w:tc>
          <w:tcPr>
            <w:tcW w:w="200" w:type="pct"/>
          </w:tcPr>
          <w:p w:rsidR="00616A3E" w:rsidRPr="00616A3E" w:rsidRDefault="00616A3E" w:rsidP="00616A3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A3E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761" w:type="pct"/>
          </w:tcPr>
          <w:p w:rsidR="00616A3E" w:rsidRPr="005A644A" w:rsidRDefault="00616A3E" w:rsidP="00616A3E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Okres dostępności części zamiennych od daty sprzedaży przez min. 10 lat.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Tak, Podać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snapToGrid w:val="0"/>
              <w:jc w:val="center"/>
              <w:rPr>
                <w:rFonts w:ascii="Arial" w:eastAsia="SimSun" w:hAnsi="Arial" w:cs="Arial"/>
                <w:bCs/>
                <w:kern w:val="2"/>
                <w:sz w:val="18"/>
                <w:szCs w:val="18"/>
                <w:lang w:bidi="hi-IN"/>
              </w:rPr>
            </w:pPr>
          </w:p>
        </w:tc>
      </w:tr>
      <w:tr w:rsidR="00616A3E" w:rsidRPr="00616A3E" w:rsidTr="00290084">
        <w:trPr>
          <w:trHeight w:val="264"/>
        </w:trPr>
        <w:tc>
          <w:tcPr>
            <w:tcW w:w="200" w:type="pct"/>
          </w:tcPr>
          <w:p w:rsidR="00616A3E" w:rsidRPr="00616A3E" w:rsidRDefault="00616A3E" w:rsidP="00616A3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A3E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2761" w:type="pct"/>
          </w:tcPr>
          <w:p w:rsidR="00616A3E" w:rsidRPr="005A644A" w:rsidRDefault="00616A3E" w:rsidP="00616A3E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W okresie gwarancji Wykonawca do napraw i przeglądów będzie używał wyłącznie nowych części zamiennych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Tak, Podać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rPr>
                <w:rFonts w:ascii="Arial" w:hAnsi="Arial" w:cs="Arial"/>
                <w:sz w:val="18"/>
                <w:szCs w:val="18"/>
              </w:rPr>
            </w:pPr>
            <w:r w:rsidRPr="00616A3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16A3E" w:rsidRPr="00616A3E" w:rsidRDefault="00616A3E" w:rsidP="00616A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A3E" w:rsidRPr="00616A3E" w:rsidTr="00290084">
        <w:trPr>
          <w:trHeight w:val="264"/>
        </w:trPr>
        <w:tc>
          <w:tcPr>
            <w:tcW w:w="200" w:type="pct"/>
          </w:tcPr>
          <w:p w:rsidR="00616A3E" w:rsidRPr="00616A3E" w:rsidRDefault="00616A3E" w:rsidP="00616A3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A3E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2761" w:type="pct"/>
          </w:tcPr>
          <w:p w:rsidR="00616A3E" w:rsidRPr="005A644A" w:rsidRDefault="00616A3E" w:rsidP="00616A3E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Przedłużenie gwarancji o czas niesprawności sprzętu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Tak, Podać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rPr>
                <w:rFonts w:ascii="Arial" w:hAnsi="Arial" w:cs="Arial"/>
                <w:sz w:val="18"/>
                <w:szCs w:val="18"/>
              </w:rPr>
            </w:pPr>
            <w:r w:rsidRPr="00616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6A3E" w:rsidRPr="00616A3E" w:rsidTr="00290084">
        <w:trPr>
          <w:trHeight w:val="264"/>
        </w:trPr>
        <w:tc>
          <w:tcPr>
            <w:tcW w:w="200" w:type="pct"/>
          </w:tcPr>
          <w:p w:rsidR="00616A3E" w:rsidRPr="00616A3E" w:rsidRDefault="00616A3E" w:rsidP="00616A3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A3E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2761" w:type="pct"/>
          </w:tcPr>
          <w:p w:rsidR="00616A3E" w:rsidRPr="005A644A" w:rsidRDefault="00616A3E" w:rsidP="00616A3E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Serwis gwarancyjny świadczony będzie przez podmiot autoryzowany przez Producenta, świadczący usługi w miejscu instalacji sprzętu. Komunikacja z serwisem odbywać się będzie </w:t>
            </w: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  <w:t>w języku polskim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616A3E" w:rsidRPr="005A644A" w:rsidRDefault="00616A3E" w:rsidP="00616A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16A3E" w:rsidRPr="005A644A" w:rsidRDefault="00616A3E" w:rsidP="00616A3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644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Tak, Podać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E" w:rsidRPr="00616A3E" w:rsidRDefault="00616A3E" w:rsidP="00616A3E">
            <w:pPr>
              <w:rPr>
                <w:rFonts w:ascii="Arial" w:hAnsi="Arial" w:cs="Arial"/>
                <w:sz w:val="18"/>
                <w:szCs w:val="18"/>
              </w:rPr>
            </w:pPr>
            <w:r w:rsidRPr="00616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9E6201" w:rsidRPr="00616A3E" w:rsidRDefault="009E6201" w:rsidP="00290084">
      <w:pPr>
        <w:rPr>
          <w:rFonts w:ascii="Arial" w:hAnsi="Arial" w:cs="Arial"/>
          <w:sz w:val="18"/>
          <w:szCs w:val="18"/>
        </w:rPr>
      </w:pPr>
    </w:p>
    <w:sectPr w:rsidR="009E6201" w:rsidRPr="00616A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3979" w:rsidRDefault="00763979" w:rsidP="00133CB4">
      <w:r>
        <w:separator/>
      </w:r>
    </w:p>
  </w:endnote>
  <w:endnote w:type="continuationSeparator" w:id="0">
    <w:p w:rsidR="00763979" w:rsidRDefault="00763979" w:rsidP="0013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0BD2" w:rsidRDefault="005A644A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3979" w:rsidRDefault="00763979" w:rsidP="00133CB4">
      <w:r>
        <w:separator/>
      </w:r>
    </w:p>
  </w:footnote>
  <w:footnote w:type="continuationSeparator" w:id="0">
    <w:p w:rsidR="00763979" w:rsidRDefault="00763979" w:rsidP="0013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0BD2" w:rsidRDefault="00616A3E">
    <w:pPr>
      <w:pStyle w:val="Tekstpodstawowy"/>
      <w:spacing w:line="14" w:lineRule="auto"/>
    </w:pPr>
    <w:r>
      <w:rPr>
        <w:noProof/>
        <w:lang w:eastAsia="pl-PL"/>
      </w:rPr>
      <w:drawing>
        <wp:inline distT="0" distB="0" distL="0" distR="0">
          <wp:extent cx="5975350" cy="667345"/>
          <wp:effectExtent l="0" t="0" r="0" b="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66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79DD"/>
    <w:multiLevelType w:val="hybridMultilevel"/>
    <w:tmpl w:val="D712749E"/>
    <w:lvl w:ilvl="0" w:tplc="39980816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850E0BF4">
      <w:numFmt w:val="bullet"/>
      <w:lvlText w:val="•"/>
      <w:lvlJc w:val="left"/>
      <w:pPr>
        <w:ind w:left="1630" w:hanging="360"/>
      </w:pPr>
      <w:rPr>
        <w:rFonts w:hint="default"/>
        <w:lang w:val="pl-PL" w:eastAsia="en-US" w:bidi="ar-SA"/>
      </w:rPr>
    </w:lvl>
    <w:lvl w:ilvl="2" w:tplc="DB20D40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0B2FC82">
      <w:numFmt w:val="bullet"/>
      <w:lvlText w:val="•"/>
      <w:lvlJc w:val="left"/>
      <w:pPr>
        <w:ind w:left="3210" w:hanging="360"/>
      </w:pPr>
      <w:rPr>
        <w:rFonts w:hint="default"/>
        <w:lang w:val="pl-PL" w:eastAsia="en-US" w:bidi="ar-SA"/>
      </w:rPr>
    </w:lvl>
    <w:lvl w:ilvl="4" w:tplc="C87CC64E">
      <w:numFmt w:val="bullet"/>
      <w:lvlText w:val="•"/>
      <w:lvlJc w:val="left"/>
      <w:pPr>
        <w:ind w:left="4000" w:hanging="360"/>
      </w:pPr>
      <w:rPr>
        <w:rFonts w:hint="default"/>
        <w:lang w:val="pl-PL" w:eastAsia="en-US" w:bidi="ar-SA"/>
      </w:rPr>
    </w:lvl>
    <w:lvl w:ilvl="5" w:tplc="260E460C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C4802024">
      <w:numFmt w:val="bullet"/>
      <w:lvlText w:val="•"/>
      <w:lvlJc w:val="left"/>
      <w:pPr>
        <w:ind w:left="5581" w:hanging="360"/>
      </w:pPr>
      <w:rPr>
        <w:rFonts w:hint="default"/>
        <w:lang w:val="pl-PL" w:eastAsia="en-US" w:bidi="ar-SA"/>
      </w:rPr>
    </w:lvl>
    <w:lvl w:ilvl="7" w:tplc="6D98DE1E">
      <w:numFmt w:val="bullet"/>
      <w:lvlText w:val="•"/>
      <w:lvlJc w:val="left"/>
      <w:pPr>
        <w:ind w:left="6371" w:hanging="360"/>
      </w:pPr>
      <w:rPr>
        <w:rFonts w:hint="default"/>
        <w:lang w:val="pl-PL" w:eastAsia="en-US" w:bidi="ar-SA"/>
      </w:rPr>
    </w:lvl>
    <w:lvl w:ilvl="8" w:tplc="CFFA5978">
      <w:numFmt w:val="bullet"/>
      <w:lvlText w:val="•"/>
      <w:lvlJc w:val="left"/>
      <w:pPr>
        <w:ind w:left="716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4B13AE6"/>
    <w:multiLevelType w:val="hybridMultilevel"/>
    <w:tmpl w:val="9C063CF6"/>
    <w:lvl w:ilvl="0" w:tplc="1DD0351A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8C28845A">
      <w:numFmt w:val="bullet"/>
      <w:lvlText w:val="•"/>
      <w:lvlJc w:val="left"/>
      <w:pPr>
        <w:ind w:left="1629" w:hanging="360"/>
      </w:pPr>
      <w:rPr>
        <w:rFonts w:hint="default"/>
        <w:lang w:val="pl-PL" w:eastAsia="en-US" w:bidi="ar-SA"/>
      </w:rPr>
    </w:lvl>
    <w:lvl w:ilvl="2" w:tplc="DA22CE58">
      <w:numFmt w:val="bullet"/>
      <w:lvlText w:val="•"/>
      <w:lvlJc w:val="left"/>
      <w:pPr>
        <w:ind w:left="2419" w:hanging="360"/>
      </w:pPr>
      <w:rPr>
        <w:rFonts w:hint="default"/>
        <w:lang w:val="pl-PL" w:eastAsia="en-US" w:bidi="ar-SA"/>
      </w:rPr>
    </w:lvl>
    <w:lvl w:ilvl="3" w:tplc="8682D392">
      <w:numFmt w:val="bullet"/>
      <w:lvlText w:val="•"/>
      <w:lvlJc w:val="left"/>
      <w:pPr>
        <w:ind w:left="3209" w:hanging="360"/>
      </w:pPr>
      <w:rPr>
        <w:rFonts w:hint="default"/>
        <w:lang w:val="pl-PL" w:eastAsia="en-US" w:bidi="ar-SA"/>
      </w:rPr>
    </w:lvl>
    <w:lvl w:ilvl="4" w:tplc="08226F26">
      <w:numFmt w:val="bullet"/>
      <w:lvlText w:val="•"/>
      <w:lvlJc w:val="left"/>
      <w:pPr>
        <w:ind w:left="3999" w:hanging="360"/>
      </w:pPr>
      <w:rPr>
        <w:rFonts w:hint="default"/>
        <w:lang w:val="pl-PL" w:eastAsia="en-US" w:bidi="ar-SA"/>
      </w:rPr>
    </w:lvl>
    <w:lvl w:ilvl="5" w:tplc="5C56CD48">
      <w:numFmt w:val="bullet"/>
      <w:lvlText w:val="•"/>
      <w:lvlJc w:val="left"/>
      <w:pPr>
        <w:ind w:left="4789" w:hanging="360"/>
      </w:pPr>
      <w:rPr>
        <w:rFonts w:hint="default"/>
        <w:lang w:val="pl-PL" w:eastAsia="en-US" w:bidi="ar-SA"/>
      </w:rPr>
    </w:lvl>
    <w:lvl w:ilvl="6" w:tplc="D620075E">
      <w:numFmt w:val="bullet"/>
      <w:lvlText w:val="•"/>
      <w:lvlJc w:val="left"/>
      <w:pPr>
        <w:ind w:left="5579" w:hanging="360"/>
      </w:pPr>
      <w:rPr>
        <w:rFonts w:hint="default"/>
        <w:lang w:val="pl-PL" w:eastAsia="en-US" w:bidi="ar-SA"/>
      </w:rPr>
    </w:lvl>
    <w:lvl w:ilvl="7" w:tplc="04E4EE98">
      <w:numFmt w:val="bullet"/>
      <w:lvlText w:val="•"/>
      <w:lvlJc w:val="left"/>
      <w:pPr>
        <w:ind w:left="6369" w:hanging="360"/>
      </w:pPr>
      <w:rPr>
        <w:rFonts w:hint="default"/>
        <w:lang w:val="pl-PL" w:eastAsia="en-US" w:bidi="ar-SA"/>
      </w:rPr>
    </w:lvl>
    <w:lvl w:ilvl="8" w:tplc="FB2A131E">
      <w:numFmt w:val="bullet"/>
      <w:lvlText w:val="•"/>
      <w:lvlJc w:val="left"/>
      <w:pPr>
        <w:ind w:left="715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4A034C2"/>
    <w:multiLevelType w:val="hybridMultilevel"/>
    <w:tmpl w:val="8258FD60"/>
    <w:lvl w:ilvl="0" w:tplc="DC08DD2A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33FCD450">
      <w:numFmt w:val="bullet"/>
      <w:lvlText w:val="•"/>
      <w:lvlJc w:val="left"/>
      <w:pPr>
        <w:ind w:left="1630" w:hanging="360"/>
      </w:pPr>
      <w:rPr>
        <w:rFonts w:hint="default"/>
        <w:lang w:val="pl-PL" w:eastAsia="en-US" w:bidi="ar-SA"/>
      </w:rPr>
    </w:lvl>
    <w:lvl w:ilvl="2" w:tplc="98EC2A30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BBA2E77C">
      <w:numFmt w:val="bullet"/>
      <w:lvlText w:val="•"/>
      <w:lvlJc w:val="left"/>
      <w:pPr>
        <w:ind w:left="3210" w:hanging="360"/>
      </w:pPr>
      <w:rPr>
        <w:rFonts w:hint="default"/>
        <w:lang w:val="pl-PL" w:eastAsia="en-US" w:bidi="ar-SA"/>
      </w:rPr>
    </w:lvl>
    <w:lvl w:ilvl="4" w:tplc="1A2A3A52">
      <w:numFmt w:val="bullet"/>
      <w:lvlText w:val="•"/>
      <w:lvlJc w:val="left"/>
      <w:pPr>
        <w:ind w:left="4000" w:hanging="360"/>
      </w:pPr>
      <w:rPr>
        <w:rFonts w:hint="default"/>
        <w:lang w:val="pl-PL" w:eastAsia="en-US" w:bidi="ar-SA"/>
      </w:rPr>
    </w:lvl>
    <w:lvl w:ilvl="5" w:tplc="B46AD294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2AF66488">
      <w:numFmt w:val="bullet"/>
      <w:lvlText w:val="•"/>
      <w:lvlJc w:val="left"/>
      <w:pPr>
        <w:ind w:left="5581" w:hanging="360"/>
      </w:pPr>
      <w:rPr>
        <w:rFonts w:hint="default"/>
        <w:lang w:val="pl-PL" w:eastAsia="en-US" w:bidi="ar-SA"/>
      </w:rPr>
    </w:lvl>
    <w:lvl w:ilvl="7" w:tplc="12C80644">
      <w:numFmt w:val="bullet"/>
      <w:lvlText w:val="•"/>
      <w:lvlJc w:val="left"/>
      <w:pPr>
        <w:ind w:left="6371" w:hanging="360"/>
      </w:pPr>
      <w:rPr>
        <w:rFonts w:hint="default"/>
        <w:lang w:val="pl-PL" w:eastAsia="en-US" w:bidi="ar-SA"/>
      </w:rPr>
    </w:lvl>
    <w:lvl w:ilvl="8" w:tplc="DB0E38F0">
      <w:numFmt w:val="bullet"/>
      <w:lvlText w:val="•"/>
      <w:lvlJc w:val="left"/>
      <w:pPr>
        <w:ind w:left="716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A3C042A"/>
    <w:multiLevelType w:val="hybridMultilevel"/>
    <w:tmpl w:val="02608964"/>
    <w:lvl w:ilvl="0" w:tplc="488C743E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072A56CE">
      <w:numFmt w:val="bullet"/>
      <w:lvlText w:val="•"/>
      <w:lvlJc w:val="left"/>
      <w:pPr>
        <w:ind w:left="1630" w:hanging="360"/>
      </w:pPr>
      <w:rPr>
        <w:rFonts w:hint="default"/>
        <w:lang w:val="pl-PL" w:eastAsia="en-US" w:bidi="ar-SA"/>
      </w:rPr>
    </w:lvl>
    <w:lvl w:ilvl="2" w:tplc="B94ABF6E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68C012A4">
      <w:numFmt w:val="bullet"/>
      <w:lvlText w:val="•"/>
      <w:lvlJc w:val="left"/>
      <w:pPr>
        <w:ind w:left="3210" w:hanging="360"/>
      </w:pPr>
      <w:rPr>
        <w:rFonts w:hint="default"/>
        <w:lang w:val="pl-PL" w:eastAsia="en-US" w:bidi="ar-SA"/>
      </w:rPr>
    </w:lvl>
    <w:lvl w:ilvl="4" w:tplc="9528C6F2">
      <w:numFmt w:val="bullet"/>
      <w:lvlText w:val="•"/>
      <w:lvlJc w:val="left"/>
      <w:pPr>
        <w:ind w:left="4000" w:hanging="360"/>
      </w:pPr>
      <w:rPr>
        <w:rFonts w:hint="default"/>
        <w:lang w:val="pl-PL" w:eastAsia="en-US" w:bidi="ar-SA"/>
      </w:rPr>
    </w:lvl>
    <w:lvl w:ilvl="5" w:tplc="BE16021C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6B5AD4D8">
      <w:numFmt w:val="bullet"/>
      <w:lvlText w:val="•"/>
      <w:lvlJc w:val="left"/>
      <w:pPr>
        <w:ind w:left="5581" w:hanging="360"/>
      </w:pPr>
      <w:rPr>
        <w:rFonts w:hint="default"/>
        <w:lang w:val="pl-PL" w:eastAsia="en-US" w:bidi="ar-SA"/>
      </w:rPr>
    </w:lvl>
    <w:lvl w:ilvl="7" w:tplc="F9F24D04">
      <w:numFmt w:val="bullet"/>
      <w:lvlText w:val="•"/>
      <w:lvlJc w:val="left"/>
      <w:pPr>
        <w:ind w:left="6371" w:hanging="360"/>
      </w:pPr>
      <w:rPr>
        <w:rFonts w:hint="default"/>
        <w:lang w:val="pl-PL" w:eastAsia="en-US" w:bidi="ar-SA"/>
      </w:rPr>
    </w:lvl>
    <w:lvl w:ilvl="8" w:tplc="EA8203C2">
      <w:numFmt w:val="bullet"/>
      <w:lvlText w:val="•"/>
      <w:lvlJc w:val="left"/>
      <w:pPr>
        <w:ind w:left="716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D490AAF"/>
    <w:multiLevelType w:val="hybridMultilevel"/>
    <w:tmpl w:val="FC26FF1A"/>
    <w:lvl w:ilvl="0" w:tplc="28AE047C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7DB65364">
      <w:numFmt w:val="bullet"/>
      <w:lvlText w:val="•"/>
      <w:lvlJc w:val="left"/>
      <w:pPr>
        <w:ind w:left="1630" w:hanging="360"/>
      </w:pPr>
      <w:rPr>
        <w:rFonts w:hint="default"/>
        <w:lang w:val="pl-PL" w:eastAsia="en-US" w:bidi="ar-SA"/>
      </w:rPr>
    </w:lvl>
    <w:lvl w:ilvl="2" w:tplc="7EF04970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B74A16EC">
      <w:numFmt w:val="bullet"/>
      <w:lvlText w:val="•"/>
      <w:lvlJc w:val="left"/>
      <w:pPr>
        <w:ind w:left="3210" w:hanging="360"/>
      </w:pPr>
      <w:rPr>
        <w:rFonts w:hint="default"/>
        <w:lang w:val="pl-PL" w:eastAsia="en-US" w:bidi="ar-SA"/>
      </w:rPr>
    </w:lvl>
    <w:lvl w:ilvl="4" w:tplc="AAD67A84">
      <w:numFmt w:val="bullet"/>
      <w:lvlText w:val="•"/>
      <w:lvlJc w:val="left"/>
      <w:pPr>
        <w:ind w:left="4000" w:hanging="360"/>
      </w:pPr>
      <w:rPr>
        <w:rFonts w:hint="default"/>
        <w:lang w:val="pl-PL" w:eastAsia="en-US" w:bidi="ar-SA"/>
      </w:rPr>
    </w:lvl>
    <w:lvl w:ilvl="5" w:tplc="949245EE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3CDE79AC">
      <w:numFmt w:val="bullet"/>
      <w:lvlText w:val="•"/>
      <w:lvlJc w:val="left"/>
      <w:pPr>
        <w:ind w:left="5581" w:hanging="360"/>
      </w:pPr>
      <w:rPr>
        <w:rFonts w:hint="default"/>
        <w:lang w:val="pl-PL" w:eastAsia="en-US" w:bidi="ar-SA"/>
      </w:rPr>
    </w:lvl>
    <w:lvl w:ilvl="7" w:tplc="45DA3008">
      <w:numFmt w:val="bullet"/>
      <w:lvlText w:val="•"/>
      <w:lvlJc w:val="left"/>
      <w:pPr>
        <w:ind w:left="6371" w:hanging="360"/>
      </w:pPr>
      <w:rPr>
        <w:rFonts w:hint="default"/>
        <w:lang w:val="pl-PL" w:eastAsia="en-US" w:bidi="ar-SA"/>
      </w:rPr>
    </w:lvl>
    <w:lvl w:ilvl="8" w:tplc="1D2EAE7E">
      <w:numFmt w:val="bullet"/>
      <w:lvlText w:val="•"/>
      <w:lvlJc w:val="left"/>
      <w:pPr>
        <w:ind w:left="716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61316FC8"/>
    <w:multiLevelType w:val="hybridMultilevel"/>
    <w:tmpl w:val="29B8C2D0"/>
    <w:lvl w:ilvl="0" w:tplc="29120642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85A69C50">
      <w:numFmt w:val="bullet"/>
      <w:lvlText w:val="•"/>
      <w:lvlJc w:val="left"/>
      <w:pPr>
        <w:ind w:left="1630" w:hanging="360"/>
      </w:pPr>
      <w:rPr>
        <w:rFonts w:hint="default"/>
        <w:lang w:val="pl-PL" w:eastAsia="en-US" w:bidi="ar-SA"/>
      </w:rPr>
    </w:lvl>
    <w:lvl w:ilvl="2" w:tplc="3D6A72E0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72746D9E">
      <w:numFmt w:val="bullet"/>
      <w:lvlText w:val="•"/>
      <w:lvlJc w:val="left"/>
      <w:pPr>
        <w:ind w:left="3210" w:hanging="360"/>
      </w:pPr>
      <w:rPr>
        <w:rFonts w:hint="default"/>
        <w:lang w:val="pl-PL" w:eastAsia="en-US" w:bidi="ar-SA"/>
      </w:rPr>
    </w:lvl>
    <w:lvl w:ilvl="4" w:tplc="AA16C158">
      <w:numFmt w:val="bullet"/>
      <w:lvlText w:val="•"/>
      <w:lvlJc w:val="left"/>
      <w:pPr>
        <w:ind w:left="4000" w:hanging="360"/>
      </w:pPr>
      <w:rPr>
        <w:rFonts w:hint="default"/>
        <w:lang w:val="pl-PL" w:eastAsia="en-US" w:bidi="ar-SA"/>
      </w:rPr>
    </w:lvl>
    <w:lvl w:ilvl="5" w:tplc="C53E523E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95B82A7C">
      <w:numFmt w:val="bullet"/>
      <w:lvlText w:val="•"/>
      <w:lvlJc w:val="left"/>
      <w:pPr>
        <w:ind w:left="5581" w:hanging="360"/>
      </w:pPr>
      <w:rPr>
        <w:rFonts w:hint="default"/>
        <w:lang w:val="pl-PL" w:eastAsia="en-US" w:bidi="ar-SA"/>
      </w:rPr>
    </w:lvl>
    <w:lvl w:ilvl="7" w:tplc="3E8E249C">
      <w:numFmt w:val="bullet"/>
      <w:lvlText w:val="•"/>
      <w:lvlJc w:val="left"/>
      <w:pPr>
        <w:ind w:left="6371" w:hanging="360"/>
      </w:pPr>
      <w:rPr>
        <w:rFonts w:hint="default"/>
        <w:lang w:val="pl-PL" w:eastAsia="en-US" w:bidi="ar-SA"/>
      </w:rPr>
    </w:lvl>
    <w:lvl w:ilvl="8" w:tplc="B86A43FA">
      <w:numFmt w:val="bullet"/>
      <w:lvlText w:val="•"/>
      <w:lvlJc w:val="left"/>
      <w:pPr>
        <w:ind w:left="716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07801286">
    <w:abstractNumId w:val="2"/>
  </w:num>
  <w:num w:numId="2" w16cid:durableId="1816024108">
    <w:abstractNumId w:val="5"/>
  </w:num>
  <w:num w:numId="3" w16cid:durableId="1851531416">
    <w:abstractNumId w:val="0"/>
  </w:num>
  <w:num w:numId="4" w16cid:durableId="856969499">
    <w:abstractNumId w:val="4"/>
  </w:num>
  <w:num w:numId="5" w16cid:durableId="1551990531">
    <w:abstractNumId w:val="3"/>
  </w:num>
  <w:num w:numId="6" w16cid:durableId="43139816">
    <w:abstractNumId w:val="1"/>
  </w:num>
  <w:num w:numId="7" w16cid:durableId="15332239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B4"/>
    <w:rsid w:val="00037F65"/>
    <w:rsid w:val="0009305E"/>
    <w:rsid w:val="000D6B60"/>
    <w:rsid w:val="00133CB4"/>
    <w:rsid w:val="00290084"/>
    <w:rsid w:val="00515DDE"/>
    <w:rsid w:val="005A644A"/>
    <w:rsid w:val="005A6CFD"/>
    <w:rsid w:val="00616A3E"/>
    <w:rsid w:val="00763979"/>
    <w:rsid w:val="0082135E"/>
    <w:rsid w:val="008335CE"/>
    <w:rsid w:val="009147AE"/>
    <w:rsid w:val="00926EC7"/>
    <w:rsid w:val="0099649D"/>
    <w:rsid w:val="009E6201"/>
    <w:rsid w:val="00C65CCC"/>
    <w:rsid w:val="00C72977"/>
    <w:rsid w:val="00D06876"/>
    <w:rsid w:val="00ED1186"/>
    <w:rsid w:val="00F2217A"/>
    <w:rsid w:val="00F3218A"/>
    <w:rsid w:val="00F9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20D61-8767-4448-AA1B-68832F26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33CB4"/>
    <w:pPr>
      <w:widowControl w:val="0"/>
      <w:autoSpaceDE w:val="0"/>
      <w:autoSpaceDN w:val="0"/>
      <w:spacing w:after="0" w:line="240" w:lineRule="auto"/>
    </w:pPr>
    <w:rPr>
      <w:rFonts w:ascii="TeXGyreAdventor" w:eastAsia="TeXGyreAdventor" w:hAnsi="TeXGyreAdventor" w:cs="TeXGyreAdvento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C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3CB4"/>
    <w:rPr>
      <w:rFonts w:ascii="Tahoma" w:eastAsia="Tahoma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3CB4"/>
    <w:rPr>
      <w:rFonts w:ascii="Tahoma" w:eastAsia="Tahoma" w:hAnsi="Tahoma" w:cs="Tahoma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133CB4"/>
    <w:pPr>
      <w:spacing w:before="27"/>
    </w:pPr>
  </w:style>
  <w:style w:type="paragraph" w:styleId="Nagwek">
    <w:name w:val="header"/>
    <w:basedOn w:val="Normalny"/>
    <w:link w:val="NagwekZnak"/>
    <w:uiPriority w:val="99"/>
    <w:unhideWhenUsed/>
    <w:rsid w:val="00133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CB4"/>
    <w:rPr>
      <w:rFonts w:ascii="TeXGyreAdventor" w:eastAsia="TeXGyreAdventor" w:hAnsi="TeXGyreAdventor" w:cs="TeXGyreAdventor"/>
    </w:rPr>
  </w:style>
  <w:style w:type="paragraph" w:styleId="Stopka">
    <w:name w:val="footer"/>
    <w:basedOn w:val="Normalny"/>
    <w:link w:val="StopkaZnak"/>
    <w:uiPriority w:val="99"/>
    <w:unhideWhenUsed/>
    <w:rsid w:val="00133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CB4"/>
    <w:rPr>
      <w:rFonts w:ascii="TeXGyreAdventor" w:eastAsia="TeXGyreAdventor" w:hAnsi="TeXGyreAdventor" w:cs="TeXGyreAdventor"/>
    </w:rPr>
  </w:style>
  <w:style w:type="paragraph" w:customStyle="1" w:styleId="Domynie">
    <w:name w:val="Domy徑nie"/>
    <w:uiPriority w:val="99"/>
    <w:rsid w:val="00616A3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10</cp:revision>
  <dcterms:created xsi:type="dcterms:W3CDTF">2022-02-23T14:07:00Z</dcterms:created>
  <dcterms:modified xsi:type="dcterms:W3CDTF">2022-11-25T11:03:00Z</dcterms:modified>
</cp:coreProperties>
</file>